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597A" w14:textId="0BA2E49C" w:rsidR="000671B9" w:rsidRDefault="007F5472" w:rsidP="000671B9">
      <w:pPr>
        <w:spacing w:before="240"/>
        <w:rPr>
          <w:b/>
        </w:rPr>
      </w:pPr>
      <w:r>
        <w:rPr>
          <w:b/>
        </w:rPr>
        <w:t>Vragen</w:t>
      </w:r>
      <w:r w:rsidR="000671B9">
        <w:rPr>
          <w:b/>
        </w:rPr>
        <w:t xml:space="preserve"> NIO-dag glomerulaire ziekten </w:t>
      </w:r>
      <w:r w:rsidR="00CE6C71">
        <w:rPr>
          <w:b/>
        </w:rPr>
        <w:t>2022</w:t>
      </w:r>
      <w:r w:rsidR="00CE6C71">
        <w:rPr>
          <w:b/>
        </w:rPr>
        <w:br/>
        <w:t xml:space="preserve">Deel </w:t>
      </w:r>
      <w:r w:rsidR="005E6142">
        <w:rPr>
          <w:b/>
        </w:rPr>
        <w:t>2</w:t>
      </w:r>
    </w:p>
    <w:p w14:paraId="594A4E3F" w14:textId="77777777" w:rsidR="000671B9" w:rsidRDefault="007F5472" w:rsidP="000671B9">
      <w:pPr>
        <w:spacing w:before="240"/>
        <w:rPr>
          <w:b/>
        </w:rPr>
      </w:pPr>
      <w:r>
        <w:rPr>
          <w:b/>
        </w:rPr>
        <w:t>SLE</w:t>
      </w:r>
    </w:p>
    <w:p w14:paraId="12A8B82E" w14:textId="77777777" w:rsidR="000671B9" w:rsidRDefault="000671B9" w:rsidP="000920F1">
      <w:pPr>
        <w:pStyle w:val="Lijstalinea"/>
        <w:numPr>
          <w:ilvl w:val="0"/>
          <w:numId w:val="1"/>
        </w:numPr>
        <w:spacing w:before="240"/>
      </w:pPr>
      <w:r>
        <w:t xml:space="preserve">Een 22-jarige vrouw komt bij de huisarts met sinds enkele maanden klachten van moeheid en pijn in de polsen en handen. Daarnaast heeft ze twee maal huiduitslag gehad aan gelaat, hals en armen bij zonlichtblootstelling. Ze gebruikt geen medicatie, blanco voorgeschiedenis. Bij onderzoek nu een wat bleke jonge vrouw, met iets roodheid van de wangen. De huisarts verricht oriënterend bloedonderzoek en vindt een </w:t>
      </w:r>
      <w:proofErr w:type="spellStart"/>
      <w:r>
        <w:t>Hb</w:t>
      </w:r>
      <w:proofErr w:type="spellEnd"/>
      <w:r>
        <w:t xml:space="preserve"> van 6,2 </w:t>
      </w:r>
      <w:proofErr w:type="spellStart"/>
      <w:r>
        <w:t>mmol</w:t>
      </w:r>
      <w:proofErr w:type="spellEnd"/>
      <w:r>
        <w:t>/l; Leukocyten 3,5</w:t>
      </w:r>
      <w:r w:rsidR="003E592B">
        <w:t>* 10</w:t>
      </w:r>
      <w:r w:rsidR="003E592B" w:rsidRPr="003E592B">
        <w:rPr>
          <w:vertAlign w:val="superscript"/>
        </w:rPr>
        <w:t>9</w:t>
      </w:r>
      <w:r w:rsidR="003E592B">
        <w:t xml:space="preserve">/l, </w:t>
      </w:r>
      <w:r>
        <w:t xml:space="preserve">een albumine van 16 g/l, een </w:t>
      </w:r>
      <w:proofErr w:type="spellStart"/>
      <w:r>
        <w:t>kreatinine</w:t>
      </w:r>
      <w:proofErr w:type="spellEnd"/>
      <w:r>
        <w:t xml:space="preserve"> van 145 </w:t>
      </w:r>
      <w:proofErr w:type="spellStart"/>
      <w:r>
        <w:t>umol</w:t>
      </w:r>
      <w:proofErr w:type="spellEnd"/>
      <w:r w:rsidR="003E592B">
        <w:t xml:space="preserve">/l </w:t>
      </w:r>
      <w:r>
        <w:t xml:space="preserve"> en in de urine stick </w:t>
      </w:r>
      <w:proofErr w:type="spellStart"/>
      <w:r>
        <w:t>proteinurie</w:t>
      </w:r>
      <w:proofErr w:type="spellEnd"/>
      <w:r>
        <w:t xml:space="preserve"> +++, </w:t>
      </w:r>
      <w:proofErr w:type="spellStart"/>
      <w:r>
        <w:t>ery’s</w:t>
      </w:r>
      <w:proofErr w:type="spellEnd"/>
      <w:r>
        <w:t xml:space="preserve"> ++, </w:t>
      </w:r>
      <w:proofErr w:type="spellStart"/>
      <w:r>
        <w:t>leuko’s</w:t>
      </w:r>
      <w:proofErr w:type="spellEnd"/>
      <w:r>
        <w:t xml:space="preserve"> +. Patiënt wordt vervolgens naar u verwezen</w:t>
      </w:r>
      <w:r w:rsidR="00F55729">
        <w:t xml:space="preserve">. De ANA is positief. </w:t>
      </w:r>
      <w:r>
        <w:br/>
        <w:t>Wat is de meest waarschijnlijke diagnose op basis van de nu bekende gegevens:</w:t>
      </w:r>
    </w:p>
    <w:p w14:paraId="6DAE88C3" w14:textId="77777777" w:rsidR="000671B9" w:rsidRDefault="000671B9" w:rsidP="000671B9">
      <w:pPr>
        <w:pStyle w:val="Lijstalinea"/>
        <w:numPr>
          <w:ilvl w:val="0"/>
          <w:numId w:val="2"/>
        </w:numPr>
        <w:spacing w:before="240"/>
      </w:pPr>
      <w:r>
        <w:t>SLE met lupus nefritis klasse III</w:t>
      </w:r>
    </w:p>
    <w:p w14:paraId="5BC188B0" w14:textId="77777777" w:rsidR="00C975ED" w:rsidRDefault="000671B9" w:rsidP="00C975ED">
      <w:pPr>
        <w:pStyle w:val="Lijstalinea"/>
        <w:numPr>
          <w:ilvl w:val="0"/>
          <w:numId w:val="2"/>
        </w:numPr>
        <w:spacing w:before="240"/>
      </w:pPr>
      <w:r>
        <w:t>SLE met lupus nefritis klasse V</w:t>
      </w:r>
    </w:p>
    <w:p w14:paraId="2AA5BEDA" w14:textId="77777777" w:rsidR="000671B9" w:rsidRDefault="000671B9" w:rsidP="00C975ED">
      <w:pPr>
        <w:pStyle w:val="Lijstalinea"/>
        <w:numPr>
          <w:ilvl w:val="0"/>
          <w:numId w:val="2"/>
        </w:numPr>
        <w:spacing w:before="240"/>
      </w:pPr>
      <w:r>
        <w:t>SLE met lupus nefritis klasse III +V</w:t>
      </w:r>
    </w:p>
    <w:p w14:paraId="33976ECA" w14:textId="77777777" w:rsidR="000671B9" w:rsidRDefault="000671B9" w:rsidP="000671B9">
      <w:pPr>
        <w:pStyle w:val="Lijstalinea"/>
        <w:spacing w:before="240"/>
      </w:pPr>
    </w:p>
    <w:p w14:paraId="5381FAB2" w14:textId="77777777" w:rsidR="000671B9" w:rsidRDefault="000671B9" w:rsidP="000671B9">
      <w:pPr>
        <w:pStyle w:val="Lijstalinea"/>
        <w:numPr>
          <w:ilvl w:val="0"/>
          <w:numId w:val="1"/>
        </w:numPr>
        <w:spacing w:before="240"/>
      </w:pPr>
      <w:r>
        <w:t xml:space="preserve">U besluit een </w:t>
      </w:r>
      <w:proofErr w:type="spellStart"/>
      <w:r>
        <w:t>nierbiopt</w:t>
      </w:r>
      <w:proofErr w:type="spellEnd"/>
      <w:r>
        <w:t xml:space="preserve"> te verrichten. Het </w:t>
      </w:r>
      <w:proofErr w:type="spellStart"/>
      <w:r>
        <w:t>nierbiopt</w:t>
      </w:r>
      <w:proofErr w:type="spellEnd"/>
      <w:r>
        <w:t xml:space="preserve"> toont een focale, segmentale </w:t>
      </w:r>
      <w:proofErr w:type="spellStart"/>
      <w:r>
        <w:t>glomerulonefritis</w:t>
      </w:r>
      <w:proofErr w:type="spellEnd"/>
      <w:r>
        <w:t xml:space="preserve"> met </w:t>
      </w:r>
      <w:proofErr w:type="spellStart"/>
      <w:r>
        <w:t>subendotheliale</w:t>
      </w:r>
      <w:proofErr w:type="spellEnd"/>
      <w:r>
        <w:t xml:space="preserve"> en ook subepitheliale deposities. Daarnaast enkele deposities in de peri-tubulaire capillairwanden. Bij IF IgG 3+, </w:t>
      </w:r>
      <w:proofErr w:type="spellStart"/>
      <w:r>
        <w:t>IgA</w:t>
      </w:r>
      <w:proofErr w:type="spellEnd"/>
      <w:r>
        <w:t xml:space="preserve"> 1+, </w:t>
      </w:r>
      <w:proofErr w:type="spellStart"/>
      <w:r>
        <w:t>IgM</w:t>
      </w:r>
      <w:proofErr w:type="spellEnd"/>
      <w:r>
        <w:t xml:space="preserve"> 1+, C3 2+, C1q 2+, kappa 1+, </w:t>
      </w:r>
      <w:proofErr w:type="spellStart"/>
      <w:r>
        <w:t>lambda</w:t>
      </w:r>
      <w:proofErr w:type="spellEnd"/>
      <w:r>
        <w:t xml:space="preserve"> 1+. Het EM onderzoek volgt nog.</w:t>
      </w:r>
      <w:r>
        <w:br/>
      </w:r>
      <w:r w:rsidR="003E592B">
        <w:t xml:space="preserve">Voldoet de </w:t>
      </w:r>
      <w:r w:rsidR="00B857F3">
        <w:t>patiënte</w:t>
      </w:r>
      <w:r w:rsidR="003E592B">
        <w:t xml:space="preserve"> aan de criteria voor het stellen van de </w:t>
      </w:r>
      <w:r>
        <w:t>diagnose SLE</w:t>
      </w:r>
      <w:r w:rsidR="003E592B">
        <w:t>?</w:t>
      </w:r>
    </w:p>
    <w:p w14:paraId="3C7B6B29" w14:textId="14A30B4A" w:rsidR="000671B9" w:rsidRDefault="000671B9" w:rsidP="000671B9">
      <w:pPr>
        <w:pStyle w:val="Lijstalinea"/>
        <w:numPr>
          <w:ilvl w:val="0"/>
          <w:numId w:val="3"/>
        </w:numPr>
        <w:spacing w:before="240"/>
      </w:pPr>
      <w:r>
        <w:t xml:space="preserve">Ja, maar alleen volgens de </w:t>
      </w:r>
      <w:r w:rsidR="004B14E8">
        <w:t>EULAR/</w:t>
      </w:r>
      <w:r>
        <w:t>ACR</w:t>
      </w:r>
      <w:r w:rsidR="00761C2E">
        <w:t xml:space="preserve"> 2019</w:t>
      </w:r>
      <w:r>
        <w:t xml:space="preserve"> criteria</w:t>
      </w:r>
    </w:p>
    <w:p w14:paraId="65CADE55" w14:textId="19AAEB29" w:rsidR="000671B9" w:rsidRDefault="000671B9" w:rsidP="000671B9">
      <w:pPr>
        <w:pStyle w:val="Lijstalinea"/>
        <w:numPr>
          <w:ilvl w:val="0"/>
          <w:numId w:val="3"/>
        </w:numPr>
        <w:spacing w:before="240"/>
      </w:pPr>
      <w:r>
        <w:t>Ja, maar alleen volgens de SLICC</w:t>
      </w:r>
      <w:r w:rsidR="00761C2E">
        <w:t xml:space="preserve"> 2012</w:t>
      </w:r>
      <w:r>
        <w:t xml:space="preserve"> criteria</w:t>
      </w:r>
    </w:p>
    <w:p w14:paraId="32C045EF" w14:textId="77777777" w:rsidR="000671B9" w:rsidRDefault="000671B9" w:rsidP="00C975ED">
      <w:pPr>
        <w:pStyle w:val="Lijstalinea"/>
        <w:numPr>
          <w:ilvl w:val="0"/>
          <w:numId w:val="3"/>
        </w:numPr>
        <w:spacing w:before="240"/>
      </w:pPr>
      <w:r>
        <w:t xml:space="preserve">Ja, volgens zowel de </w:t>
      </w:r>
      <w:r w:rsidR="004B14E8">
        <w:t xml:space="preserve">EULAR/ACR </w:t>
      </w:r>
      <w:r>
        <w:t xml:space="preserve">als de SLICC criteria </w:t>
      </w:r>
    </w:p>
    <w:p w14:paraId="1547C09D" w14:textId="77777777" w:rsidR="000671B9" w:rsidRDefault="000671B9" w:rsidP="000671B9">
      <w:pPr>
        <w:pStyle w:val="Lijstalinea"/>
        <w:numPr>
          <w:ilvl w:val="0"/>
          <w:numId w:val="3"/>
        </w:numPr>
        <w:spacing w:before="240"/>
      </w:pPr>
      <w:r>
        <w:t>Nee</w:t>
      </w:r>
      <w:r w:rsidR="0039707D">
        <w:br/>
      </w:r>
    </w:p>
    <w:p w14:paraId="7CB4F1E4" w14:textId="77777777" w:rsidR="0039707D" w:rsidRDefault="0039707D" w:rsidP="0039707D">
      <w:pPr>
        <w:pStyle w:val="Lijstalinea"/>
        <w:numPr>
          <w:ilvl w:val="0"/>
          <w:numId w:val="1"/>
        </w:numPr>
        <w:spacing w:before="240"/>
      </w:pPr>
      <w:r>
        <w:t>Welke immunologische test heeft de hoogste specificiteit voor de diagnose SLE?</w:t>
      </w:r>
    </w:p>
    <w:p w14:paraId="44B0B422" w14:textId="77777777" w:rsidR="008C4AEC" w:rsidRDefault="008C4AEC" w:rsidP="008C4AEC">
      <w:pPr>
        <w:pStyle w:val="Lijstalinea"/>
        <w:numPr>
          <w:ilvl w:val="0"/>
          <w:numId w:val="38"/>
        </w:numPr>
        <w:spacing w:before="240"/>
      </w:pPr>
      <w:proofErr w:type="spellStart"/>
      <w:r>
        <w:t>AntidsDNA</w:t>
      </w:r>
      <w:proofErr w:type="spellEnd"/>
    </w:p>
    <w:p w14:paraId="49FB6361" w14:textId="77777777" w:rsidR="008C4AEC" w:rsidRDefault="008C4AEC" w:rsidP="008C4AEC">
      <w:pPr>
        <w:pStyle w:val="Lijstalinea"/>
        <w:numPr>
          <w:ilvl w:val="0"/>
          <w:numId w:val="38"/>
        </w:numPr>
        <w:spacing w:before="240"/>
      </w:pPr>
      <w:r>
        <w:t>Anti-SM</w:t>
      </w:r>
    </w:p>
    <w:p w14:paraId="4C2050B6" w14:textId="77777777" w:rsidR="008C4AEC" w:rsidRDefault="008C4AEC" w:rsidP="008C4AEC">
      <w:pPr>
        <w:pStyle w:val="Lijstalinea"/>
        <w:numPr>
          <w:ilvl w:val="0"/>
          <w:numId w:val="38"/>
        </w:numPr>
        <w:spacing w:before="240"/>
      </w:pPr>
      <w:r>
        <w:t>Lupus anticoagulans</w:t>
      </w:r>
    </w:p>
    <w:p w14:paraId="0EC5331B" w14:textId="77777777" w:rsidR="008C4AEC" w:rsidRDefault="008C4AEC" w:rsidP="008C4AEC">
      <w:pPr>
        <w:pStyle w:val="Lijstalinea"/>
        <w:numPr>
          <w:ilvl w:val="0"/>
          <w:numId w:val="38"/>
        </w:numPr>
        <w:spacing w:before="240"/>
      </w:pPr>
      <w:r>
        <w:t>Anti-SSA</w:t>
      </w:r>
    </w:p>
    <w:p w14:paraId="3E46563F" w14:textId="77777777" w:rsidR="0039707D" w:rsidRPr="008C4AEC" w:rsidRDefault="0039707D" w:rsidP="0039707D">
      <w:pPr>
        <w:pStyle w:val="Lijstalinea"/>
        <w:spacing w:before="240"/>
        <w:ind w:left="360"/>
        <w:rPr>
          <w:lang w:val="en-US"/>
        </w:rPr>
      </w:pPr>
    </w:p>
    <w:p w14:paraId="2B6774A6" w14:textId="77777777" w:rsidR="0039707D" w:rsidRDefault="0039707D" w:rsidP="0039707D">
      <w:pPr>
        <w:pStyle w:val="Lijstalinea"/>
        <w:numPr>
          <w:ilvl w:val="0"/>
          <w:numId w:val="1"/>
        </w:numPr>
        <w:spacing w:before="240"/>
      </w:pPr>
      <w:r>
        <w:t>Welke immunologische test heeft de hoogste sensitiviteit voor de diagnose SLE?</w:t>
      </w:r>
    </w:p>
    <w:p w14:paraId="3AF2BBE7" w14:textId="77777777" w:rsidR="0039707D" w:rsidRDefault="0039707D" w:rsidP="0039707D">
      <w:pPr>
        <w:pStyle w:val="Lijstalinea"/>
        <w:numPr>
          <w:ilvl w:val="0"/>
          <w:numId w:val="33"/>
        </w:numPr>
        <w:spacing w:before="240"/>
      </w:pPr>
      <w:proofErr w:type="spellStart"/>
      <w:r>
        <w:t>AntidsDNA</w:t>
      </w:r>
      <w:proofErr w:type="spellEnd"/>
    </w:p>
    <w:p w14:paraId="0D1F5E38" w14:textId="77777777" w:rsidR="0039707D" w:rsidRDefault="0039707D" w:rsidP="0039707D">
      <w:pPr>
        <w:pStyle w:val="Lijstalinea"/>
        <w:numPr>
          <w:ilvl w:val="0"/>
          <w:numId w:val="33"/>
        </w:numPr>
        <w:spacing w:before="240"/>
      </w:pPr>
      <w:r>
        <w:t>Anti-SM</w:t>
      </w:r>
    </w:p>
    <w:p w14:paraId="076E40E5" w14:textId="77777777" w:rsidR="0039707D" w:rsidRDefault="0039707D" w:rsidP="0039707D">
      <w:pPr>
        <w:pStyle w:val="Lijstalinea"/>
        <w:numPr>
          <w:ilvl w:val="0"/>
          <w:numId w:val="33"/>
        </w:numPr>
        <w:spacing w:before="240"/>
      </w:pPr>
      <w:r>
        <w:t>Lupus anticoagulans</w:t>
      </w:r>
    </w:p>
    <w:p w14:paraId="2BBC4DA9" w14:textId="77777777" w:rsidR="0039707D" w:rsidRDefault="00F37C10" w:rsidP="0039707D">
      <w:pPr>
        <w:pStyle w:val="Lijstalinea"/>
        <w:numPr>
          <w:ilvl w:val="0"/>
          <w:numId w:val="33"/>
        </w:numPr>
        <w:spacing w:before="240"/>
      </w:pPr>
      <w:r>
        <w:t>A</w:t>
      </w:r>
      <w:r w:rsidR="0039707D">
        <w:t>nti</w:t>
      </w:r>
      <w:r>
        <w:t>-</w:t>
      </w:r>
      <w:r w:rsidR="0039707D">
        <w:t>SSA</w:t>
      </w:r>
    </w:p>
    <w:p w14:paraId="71FC1645" w14:textId="77777777" w:rsidR="005C75C3" w:rsidRDefault="005C75C3" w:rsidP="005C75C3">
      <w:pPr>
        <w:pStyle w:val="Lijstalinea"/>
        <w:spacing w:before="240"/>
      </w:pPr>
    </w:p>
    <w:p w14:paraId="6EEF5903" w14:textId="77777777" w:rsidR="000671B9" w:rsidRDefault="000671B9" w:rsidP="000671B9">
      <w:pPr>
        <w:pStyle w:val="Lijstalinea"/>
        <w:numPr>
          <w:ilvl w:val="0"/>
          <w:numId w:val="1"/>
        </w:numPr>
        <w:spacing w:before="240"/>
      </w:pPr>
      <w:r>
        <w:t>Er volgen nog enkele uitslagen: anti-</w:t>
      </w:r>
      <w:proofErr w:type="spellStart"/>
      <w:r>
        <w:t>dsDNA</w:t>
      </w:r>
      <w:proofErr w:type="spellEnd"/>
      <w:r>
        <w:t xml:space="preserve"> is positief met titer 548 IE/ml, anti-SSA en anti-SSB positief. Ook de uitslag van de elektronenmicroscopie is nu bekend.</w:t>
      </w:r>
      <w:r>
        <w:br/>
        <w:t xml:space="preserve">Welke bevinding bij EM </w:t>
      </w:r>
      <w:r w:rsidR="003E592B">
        <w:t>onderzoek is vrij typisch voor de</w:t>
      </w:r>
      <w:r>
        <w:t xml:space="preserve"> diagnose SLE ?</w:t>
      </w:r>
    </w:p>
    <w:p w14:paraId="6F36C358" w14:textId="77777777" w:rsidR="000671B9" w:rsidRDefault="00302B6D" w:rsidP="000671B9">
      <w:pPr>
        <w:pStyle w:val="Lijstalinea"/>
        <w:numPr>
          <w:ilvl w:val="0"/>
          <w:numId w:val="4"/>
        </w:numPr>
        <w:spacing w:before="240"/>
      </w:pPr>
      <w:r>
        <w:t>T</w:t>
      </w:r>
      <w:r w:rsidR="000671B9">
        <w:t xml:space="preserve">otale voetjesversmelting van de </w:t>
      </w:r>
      <w:proofErr w:type="spellStart"/>
      <w:r w:rsidR="000671B9">
        <w:t>podocyt</w:t>
      </w:r>
      <w:proofErr w:type="spellEnd"/>
    </w:p>
    <w:p w14:paraId="22F0FF88" w14:textId="77777777" w:rsidR="000671B9" w:rsidRDefault="00302B6D" w:rsidP="00C975ED">
      <w:pPr>
        <w:pStyle w:val="Lijstalinea"/>
        <w:numPr>
          <w:ilvl w:val="0"/>
          <w:numId w:val="4"/>
        </w:numPr>
        <w:spacing w:before="240"/>
      </w:pPr>
      <w:proofErr w:type="spellStart"/>
      <w:r>
        <w:t>T</w:t>
      </w:r>
      <w:r w:rsidR="000671B9">
        <w:t>ubulo</w:t>
      </w:r>
      <w:proofErr w:type="spellEnd"/>
      <w:r w:rsidR="000671B9">
        <w:t>-reticulaire inclusies in het endotheel</w:t>
      </w:r>
    </w:p>
    <w:p w14:paraId="1287C1ED" w14:textId="77777777" w:rsidR="000671B9" w:rsidRDefault="00302B6D" w:rsidP="000671B9">
      <w:pPr>
        <w:pStyle w:val="Lijstalinea"/>
        <w:numPr>
          <w:ilvl w:val="0"/>
          <w:numId w:val="4"/>
        </w:numPr>
        <w:spacing w:before="240"/>
      </w:pPr>
      <w:r>
        <w:lastRenderedPageBreak/>
        <w:t>E</w:t>
      </w:r>
      <w:r w:rsidR="000671B9">
        <w:t xml:space="preserve">en onregelmatige basaalmembraan met dunne fragmenten </w:t>
      </w:r>
    </w:p>
    <w:p w14:paraId="7D275971" w14:textId="77777777" w:rsidR="000671B9" w:rsidRDefault="00302B6D" w:rsidP="000671B9">
      <w:pPr>
        <w:pStyle w:val="Lijstalinea"/>
        <w:numPr>
          <w:ilvl w:val="0"/>
          <w:numId w:val="4"/>
        </w:numPr>
        <w:spacing w:before="240"/>
      </w:pPr>
      <w:r>
        <w:t>T</w:t>
      </w:r>
      <w:r w:rsidR="000671B9">
        <w:t>rombotische microangiopathie</w:t>
      </w:r>
      <w:r>
        <w:br/>
      </w:r>
    </w:p>
    <w:p w14:paraId="699F34AA" w14:textId="77777777" w:rsidR="000671B9" w:rsidRDefault="000671B9" w:rsidP="000671B9">
      <w:pPr>
        <w:pStyle w:val="Lijstalinea"/>
        <w:numPr>
          <w:ilvl w:val="0"/>
          <w:numId w:val="1"/>
        </w:numPr>
        <w:spacing w:before="240"/>
      </w:pPr>
      <w:r>
        <w:t xml:space="preserve">U besluit bij patiënte te starten met een inductietherapie. </w:t>
      </w:r>
    </w:p>
    <w:p w14:paraId="1BB45E43" w14:textId="77777777" w:rsidR="000671B9" w:rsidRDefault="000671B9" w:rsidP="000671B9">
      <w:pPr>
        <w:pStyle w:val="Lijstalinea"/>
        <w:spacing w:before="240"/>
      </w:pPr>
    </w:p>
    <w:p w14:paraId="7190F785" w14:textId="1860E64C" w:rsidR="000671B9" w:rsidRDefault="000671B9" w:rsidP="000671B9">
      <w:pPr>
        <w:pStyle w:val="Lijstalinea"/>
        <w:spacing w:before="240"/>
        <w:ind w:left="360"/>
      </w:pPr>
      <w:r>
        <w:t>Stelling: inductie therapie met stero</w:t>
      </w:r>
      <w:r w:rsidR="00EB2D13">
        <w:t>ï</w:t>
      </w:r>
      <w:r>
        <w:t xml:space="preserve">den en </w:t>
      </w:r>
      <w:proofErr w:type="spellStart"/>
      <w:r>
        <w:t>mycofenolaat</w:t>
      </w:r>
      <w:proofErr w:type="spellEnd"/>
      <w:r>
        <w:t xml:space="preserve"> </w:t>
      </w:r>
      <w:proofErr w:type="spellStart"/>
      <w:r>
        <w:t>mofetil</w:t>
      </w:r>
      <w:proofErr w:type="spellEnd"/>
      <w:r>
        <w:t xml:space="preserve"> is een 1</w:t>
      </w:r>
      <w:r w:rsidRPr="00CB2BFF">
        <w:rPr>
          <w:vertAlign w:val="superscript"/>
        </w:rPr>
        <w:t>e</w:t>
      </w:r>
      <w:r>
        <w:t xml:space="preserve"> keus behandeling volgens de </w:t>
      </w:r>
      <w:r w:rsidR="0074535E">
        <w:t>KDIGO</w:t>
      </w:r>
      <w:r w:rsidR="002B19F0">
        <w:t xml:space="preserve"> 2021</w:t>
      </w:r>
      <w:r>
        <w:t xml:space="preserve"> richtlijn. </w:t>
      </w:r>
    </w:p>
    <w:p w14:paraId="61749895" w14:textId="77777777" w:rsidR="000671B9" w:rsidRDefault="000671B9" w:rsidP="00C975ED">
      <w:pPr>
        <w:pStyle w:val="Lijstalinea"/>
        <w:numPr>
          <w:ilvl w:val="0"/>
          <w:numId w:val="39"/>
        </w:numPr>
        <w:spacing w:before="240"/>
      </w:pPr>
      <w:r>
        <w:t>Juist</w:t>
      </w:r>
    </w:p>
    <w:p w14:paraId="510E824A" w14:textId="77777777" w:rsidR="000671B9" w:rsidRDefault="000671B9" w:rsidP="000671B9">
      <w:pPr>
        <w:pStyle w:val="Lijstalinea"/>
        <w:numPr>
          <w:ilvl w:val="0"/>
          <w:numId w:val="5"/>
        </w:numPr>
        <w:spacing w:before="240"/>
      </w:pPr>
      <w:r>
        <w:t>Onjuist</w:t>
      </w:r>
    </w:p>
    <w:p w14:paraId="34A93BE2" w14:textId="77777777" w:rsidR="000671B9" w:rsidRDefault="000671B9" w:rsidP="000671B9">
      <w:pPr>
        <w:pStyle w:val="Lijstalinea"/>
        <w:spacing w:before="240"/>
        <w:ind w:left="1080"/>
      </w:pPr>
    </w:p>
    <w:p w14:paraId="5B6B0F43" w14:textId="77777777" w:rsidR="000671B9" w:rsidRDefault="000671B9" w:rsidP="000671B9">
      <w:pPr>
        <w:pStyle w:val="Lijstalinea"/>
        <w:numPr>
          <w:ilvl w:val="0"/>
          <w:numId w:val="1"/>
        </w:numPr>
        <w:spacing w:before="240"/>
      </w:pPr>
      <w:r>
        <w:t>U start bij patiënte met bovengenoemde therapie. Daarnaast start u met hydroxychloroquine 1dd 200 mg. Vanwege de start van de hydroxychloroquine verwijst u patiënte naar de oogarts voor nulmeting en periodieke controle nadien.</w:t>
      </w:r>
    </w:p>
    <w:p w14:paraId="35356617" w14:textId="77777777" w:rsidR="000671B9" w:rsidRDefault="000671B9" w:rsidP="000671B9">
      <w:pPr>
        <w:spacing w:before="240"/>
        <w:ind w:left="360"/>
      </w:pPr>
      <w:r>
        <w:t xml:space="preserve">Stelling: het risico op de met hydroxychloroquine geassocieerde retina-toxiciteit neemt toe met hogere cumulatieve doses. </w:t>
      </w:r>
    </w:p>
    <w:p w14:paraId="5C9A57A5" w14:textId="77777777" w:rsidR="000671B9" w:rsidRDefault="000671B9" w:rsidP="00C975ED">
      <w:pPr>
        <w:pStyle w:val="Lijstalinea"/>
        <w:numPr>
          <w:ilvl w:val="0"/>
          <w:numId w:val="5"/>
        </w:numPr>
        <w:spacing w:before="240"/>
      </w:pPr>
      <w:r>
        <w:t xml:space="preserve">Juist </w:t>
      </w:r>
    </w:p>
    <w:p w14:paraId="2821463C" w14:textId="77777777" w:rsidR="000671B9" w:rsidRDefault="000671B9" w:rsidP="000671B9">
      <w:pPr>
        <w:pStyle w:val="Lijstalinea"/>
        <w:numPr>
          <w:ilvl w:val="0"/>
          <w:numId w:val="6"/>
        </w:numPr>
        <w:spacing w:before="240"/>
      </w:pPr>
      <w:r>
        <w:t>Onjuist</w:t>
      </w:r>
    </w:p>
    <w:p w14:paraId="1F9037DA" w14:textId="77777777" w:rsidR="005C75C3" w:rsidRDefault="005C75C3" w:rsidP="005C75C3">
      <w:pPr>
        <w:pStyle w:val="Lijstalinea"/>
        <w:spacing w:before="240"/>
      </w:pPr>
    </w:p>
    <w:p w14:paraId="7ABB67AE" w14:textId="77777777" w:rsidR="000671B9" w:rsidRDefault="000671B9" w:rsidP="000671B9">
      <w:pPr>
        <w:pStyle w:val="Lijstalinea"/>
        <w:numPr>
          <w:ilvl w:val="0"/>
          <w:numId w:val="1"/>
        </w:numPr>
        <w:spacing w:before="240"/>
      </w:pPr>
      <w:r>
        <w:t>De inductie therapie bij patiënte is afgerond. U besluit over te gaan naar onderhoudstherap</w:t>
      </w:r>
      <w:r w:rsidR="003E592B">
        <w:t>ie</w:t>
      </w:r>
      <w:r>
        <w:t>.</w:t>
      </w:r>
    </w:p>
    <w:p w14:paraId="028574FA" w14:textId="77777777" w:rsidR="000671B9" w:rsidRDefault="000671B9" w:rsidP="000671B9">
      <w:pPr>
        <w:spacing w:before="240"/>
        <w:ind w:left="360"/>
      </w:pPr>
      <w:r>
        <w:t>Welke van de onderstaande beweringen is het meest correct:</w:t>
      </w:r>
    </w:p>
    <w:p w14:paraId="54E54A8C" w14:textId="5C67AAA9" w:rsidR="000671B9" w:rsidRDefault="000671B9" w:rsidP="000671B9">
      <w:pPr>
        <w:pStyle w:val="Lijstalinea"/>
        <w:numPr>
          <w:ilvl w:val="0"/>
          <w:numId w:val="8"/>
        </w:numPr>
        <w:spacing w:before="240"/>
      </w:pPr>
      <w:r>
        <w:t>Azathioprine onderhoudstherapie heeft de voorkeur boven MMF onderhoud</w:t>
      </w:r>
    </w:p>
    <w:p w14:paraId="7B69D1BF" w14:textId="1FC179BA" w:rsidR="000671B9" w:rsidRDefault="000671B9" w:rsidP="000671B9">
      <w:pPr>
        <w:pStyle w:val="Lijstalinea"/>
        <w:numPr>
          <w:ilvl w:val="0"/>
          <w:numId w:val="8"/>
        </w:numPr>
        <w:spacing w:before="240"/>
      </w:pPr>
      <w:r>
        <w:t xml:space="preserve">MMF onderhoudstherapie heeft de voorkeur boven azathioprine onderhoud </w:t>
      </w:r>
    </w:p>
    <w:p w14:paraId="25A08B04" w14:textId="77777777" w:rsidR="000671B9" w:rsidRDefault="000671B9" w:rsidP="000671B9">
      <w:pPr>
        <w:pStyle w:val="Lijstalinea"/>
        <w:numPr>
          <w:ilvl w:val="0"/>
          <w:numId w:val="8"/>
        </w:numPr>
        <w:spacing w:before="240"/>
      </w:pPr>
      <w:r>
        <w:t xml:space="preserve">In </w:t>
      </w:r>
      <w:proofErr w:type="spellStart"/>
      <w:r>
        <w:t>Caucasische</w:t>
      </w:r>
      <w:proofErr w:type="spellEnd"/>
      <w:r>
        <w:t xml:space="preserve"> </w:t>
      </w:r>
      <w:r w:rsidR="004500CF">
        <w:t>patiënten</w:t>
      </w:r>
      <w:r>
        <w:t xml:space="preserve"> heeft azathioprine onderhoud de voorkeur</w:t>
      </w:r>
    </w:p>
    <w:p w14:paraId="1B01F165" w14:textId="100B0A49" w:rsidR="000671B9" w:rsidRDefault="000671B9" w:rsidP="00C975ED">
      <w:pPr>
        <w:pStyle w:val="Lijstalinea"/>
        <w:numPr>
          <w:ilvl w:val="0"/>
          <w:numId w:val="8"/>
        </w:numPr>
        <w:spacing w:before="240"/>
      </w:pPr>
      <w:r>
        <w:t>In niet-</w:t>
      </w:r>
      <w:proofErr w:type="spellStart"/>
      <w:r>
        <w:t>Caucasische</w:t>
      </w:r>
      <w:proofErr w:type="spellEnd"/>
      <w:r>
        <w:t xml:space="preserve"> </w:t>
      </w:r>
      <w:r w:rsidR="004500CF">
        <w:t>patiënten</w:t>
      </w:r>
      <w:r>
        <w:t xml:space="preserve"> heeft MMF onderhoud de voorkeur</w:t>
      </w:r>
    </w:p>
    <w:p w14:paraId="34967A79" w14:textId="77777777" w:rsidR="005C75C3" w:rsidRDefault="005C75C3" w:rsidP="005C75C3">
      <w:pPr>
        <w:pStyle w:val="Lijstalinea"/>
        <w:spacing w:before="240"/>
      </w:pPr>
    </w:p>
    <w:p w14:paraId="0BE53213" w14:textId="77777777" w:rsidR="000671B9" w:rsidRDefault="000671B9" w:rsidP="000671B9">
      <w:pPr>
        <w:pStyle w:val="Lijstalinea"/>
        <w:numPr>
          <w:ilvl w:val="0"/>
          <w:numId w:val="1"/>
        </w:numPr>
        <w:spacing w:before="240"/>
      </w:pPr>
      <w:r>
        <w:t>Patiënte wordt omgezet op azathioprine onderhoudstherapie. Dit bevalt haar goed, omdat ze op de MMF wat diarreeklachten had. De daarop volgende jaren is er sprake van een stabiele situatie.</w:t>
      </w:r>
    </w:p>
    <w:p w14:paraId="72BECCA1" w14:textId="77777777" w:rsidR="000671B9" w:rsidRDefault="000671B9" w:rsidP="000671B9">
      <w:pPr>
        <w:pStyle w:val="Lijstalinea"/>
        <w:spacing w:before="240"/>
        <w:ind w:left="360"/>
      </w:pPr>
      <w:r>
        <w:t xml:space="preserve">Als u patiënte ruim 4 jaar na de diagnose weer een op u spreekuur ziet, meldt zij een kinderwens te hebben. </w:t>
      </w:r>
    </w:p>
    <w:p w14:paraId="1CBD3281" w14:textId="77777777" w:rsidR="000671B9" w:rsidRDefault="000671B9" w:rsidP="000671B9">
      <w:pPr>
        <w:pStyle w:val="Lijstalinea"/>
        <w:spacing w:before="240"/>
        <w:ind w:left="360"/>
      </w:pPr>
    </w:p>
    <w:p w14:paraId="214735A3" w14:textId="77777777" w:rsidR="000671B9" w:rsidRDefault="000671B9" w:rsidP="000671B9">
      <w:pPr>
        <w:pStyle w:val="Lijstalinea"/>
        <w:spacing w:before="240"/>
        <w:ind w:left="360"/>
      </w:pPr>
      <w:r>
        <w:t>Welke van de onderstaande beweringen is juist:</w:t>
      </w:r>
    </w:p>
    <w:p w14:paraId="43E17F96" w14:textId="77777777" w:rsidR="000671B9" w:rsidRDefault="000671B9" w:rsidP="000671B9">
      <w:pPr>
        <w:pStyle w:val="Lijstalinea"/>
        <w:numPr>
          <w:ilvl w:val="0"/>
          <w:numId w:val="9"/>
        </w:numPr>
        <w:spacing w:before="240"/>
      </w:pPr>
      <w:r>
        <w:t xml:space="preserve">De huidige immunosuppressieve medicatie van patiënte (azathioprine, prednison, hydroxychloroquine) zal moeten worden aangepast om een veilige zwangerschap mogelijk te maken. </w:t>
      </w:r>
    </w:p>
    <w:p w14:paraId="3CE8815F" w14:textId="13A436E0" w:rsidR="000671B9" w:rsidRDefault="000671B9" w:rsidP="00C975ED">
      <w:pPr>
        <w:pStyle w:val="Lijstalinea"/>
        <w:numPr>
          <w:ilvl w:val="0"/>
          <w:numId w:val="9"/>
        </w:numPr>
        <w:spacing w:before="240"/>
      </w:pPr>
      <w:r>
        <w:t xml:space="preserve">Bij patiënten bij wie de SLE voor de conceptie langdurig (&gt; 6 </w:t>
      </w:r>
      <w:proofErr w:type="spellStart"/>
      <w:r>
        <w:t>mnd</w:t>
      </w:r>
      <w:proofErr w:type="spellEnd"/>
      <w:r>
        <w:t xml:space="preserve">) in complete remissie is, is het risico op een </w:t>
      </w:r>
      <w:proofErr w:type="spellStart"/>
      <w:r>
        <w:t>flare</w:t>
      </w:r>
      <w:proofErr w:type="spellEnd"/>
      <w:r>
        <w:t xml:space="preserve"> in de zwangerschap niet verhoogd</w:t>
      </w:r>
    </w:p>
    <w:p w14:paraId="3EB7F839" w14:textId="77777777" w:rsidR="000671B9" w:rsidRDefault="000671B9" w:rsidP="000671B9">
      <w:pPr>
        <w:pStyle w:val="Lijstalinea"/>
        <w:numPr>
          <w:ilvl w:val="0"/>
          <w:numId w:val="9"/>
        </w:numPr>
        <w:spacing w:before="240"/>
      </w:pPr>
      <w:r>
        <w:t xml:space="preserve">De positieve anti-SSA antistoffen bij diagnose zijn een contra-indicatie voor een zwangerschap, gezien het risico op een compleet hart block bij de foetus. </w:t>
      </w:r>
    </w:p>
    <w:p w14:paraId="691AD1CA" w14:textId="69FD57DE" w:rsidR="00E33785" w:rsidRDefault="000671B9" w:rsidP="004D2911">
      <w:pPr>
        <w:pStyle w:val="Lijstalinea"/>
        <w:numPr>
          <w:ilvl w:val="0"/>
          <w:numId w:val="9"/>
        </w:numPr>
        <w:spacing w:before="240"/>
      </w:pPr>
      <w:r>
        <w:t>Patiënten met SLE, maar zonder antifosfolipiden antistoffen, hebben wel een verhoogd risico op intra-uteriene vruchtdood en premature bevalling, maar geen verhoogd risico op pre-</w:t>
      </w:r>
      <w:r>
        <w:lastRenderedPageBreak/>
        <w:t xml:space="preserve">eclampsie. </w:t>
      </w:r>
      <w:r w:rsidR="004D2911">
        <w:br/>
      </w:r>
    </w:p>
    <w:p w14:paraId="0855EE91" w14:textId="0641569B" w:rsidR="005438BC" w:rsidRDefault="004D2911" w:rsidP="004D2911">
      <w:pPr>
        <w:pStyle w:val="Lijstalinea"/>
        <w:numPr>
          <w:ilvl w:val="0"/>
          <w:numId w:val="1"/>
        </w:numPr>
        <w:spacing w:before="240"/>
      </w:pPr>
      <w:r>
        <w:t xml:space="preserve">Hoe groot is de kans dat </w:t>
      </w:r>
      <w:r w:rsidR="0083225E">
        <w:t xml:space="preserve">een </w:t>
      </w:r>
      <w:r>
        <w:t>patiënte</w:t>
      </w:r>
      <w:r w:rsidR="002F4AE2">
        <w:t xml:space="preserve"> met ac</w:t>
      </w:r>
      <w:r w:rsidR="00C40B9F">
        <w:t>t</w:t>
      </w:r>
      <w:r w:rsidR="002F4AE2">
        <w:t>ieve lupus nefritis klasse IV</w:t>
      </w:r>
      <w:r>
        <w:t xml:space="preserve"> in </w:t>
      </w:r>
      <w:r w:rsidR="00C40B9F">
        <w:t xml:space="preserve">volledige </w:t>
      </w:r>
      <w:r>
        <w:t xml:space="preserve">complete remissie </w:t>
      </w:r>
      <w:r w:rsidR="005438BC">
        <w:t xml:space="preserve">(geen achteruitgang nierfunctie, proteïnurie &lt; 0,5 gram/dag en geen </w:t>
      </w:r>
      <w:proofErr w:type="spellStart"/>
      <w:r w:rsidR="005438BC">
        <w:t>sedimentsafwijkingen</w:t>
      </w:r>
      <w:proofErr w:type="spellEnd"/>
      <w:r w:rsidR="005438BC">
        <w:t xml:space="preserve">) </w:t>
      </w:r>
      <w:r>
        <w:t xml:space="preserve">raakt </w:t>
      </w:r>
      <w:r w:rsidR="005438BC">
        <w:t>24 weken na start</w:t>
      </w:r>
      <w:r w:rsidR="0083225E">
        <w:t xml:space="preserve"> met inductie MMF/prednison</w:t>
      </w:r>
      <w:r>
        <w:t>?</w:t>
      </w:r>
      <w:r w:rsidR="005438BC">
        <w:br/>
      </w:r>
    </w:p>
    <w:p w14:paraId="0A28CE6D" w14:textId="77777777" w:rsidR="005438BC" w:rsidRDefault="005438BC" w:rsidP="005438BC">
      <w:pPr>
        <w:pStyle w:val="Lijstalinea"/>
        <w:numPr>
          <w:ilvl w:val="0"/>
          <w:numId w:val="41"/>
        </w:numPr>
        <w:spacing w:before="240"/>
      </w:pPr>
      <w:r>
        <w:t>8%</w:t>
      </w:r>
    </w:p>
    <w:p w14:paraId="490EDD9C" w14:textId="77777777" w:rsidR="005438BC" w:rsidRDefault="005438BC" w:rsidP="005438BC">
      <w:pPr>
        <w:pStyle w:val="Lijstalinea"/>
        <w:numPr>
          <w:ilvl w:val="0"/>
          <w:numId w:val="41"/>
        </w:numPr>
        <w:spacing w:before="240"/>
      </w:pPr>
      <w:r>
        <w:t>15%</w:t>
      </w:r>
    </w:p>
    <w:p w14:paraId="6BD2DC86" w14:textId="77777777" w:rsidR="005438BC" w:rsidRDefault="005438BC" w:rsidP="005438BC">
      <w:pPr>
        <w:pStyle w:val="Lijstalinea"/>
        <w:numPr>
          <w:ilvl w:val="0"/>
          <w:numId w:val="41"/>
        </w:numPr>
        <w:spacing w:before="240"/>
      </w:pPr>
      <w:r>
        <w:t>30%</w:t>
      </w:r>
    </w:p>
    <w:p w14:paraId="6C307B41" w14:textId="24D8EF5D" w:rsidR="004D2911" w:rsidRDefault="005438BC" w:rsidP="005438BC">
      <w:pPr>
        <w:pStyle w:val="Lijstalinea"/>
        <w:numPr>
          <w:ilvl w:val="0"/>
          <w:numId w:val="41"/>
        </w:numPr>
        <w:spacing w:before="240"/>
      </w:pPr>
      <w:r>
        <w:t>50%</w:t>
      </w:r>
      <w:r>
        <w:br/>
      </w:r>
    </w:p>
    <w:p w14:paraId="590DDD30" w14:textId="77777777" w:rsidR="004D2911" w:rsidRDefault="004D2911" w:rsidP="004D2911">
      <w:pPr>
        <w:pStyle w:val="Lijstalinea"/>
        <w:spacing w:before="240"/>
        <w:ind w:left="360"/>
      </w:pPr>
    </w:p>
    <w:p w14:paraId="3A8C5F3C" w14:textId="1F013AB9" w:rsidR="004D2911" w:rsidRDefault="004D2911" w:rsidP="004D2911">
      <w:pPr>
        <w:pStyle w:val="Lijstalinea"/>
        <w:numPr>
          <w:ilvl w:val="0"/>
          <w:numId w:val="1"/>
        </w:numPr>
        <w:spacing w:before="240"/>
      </w:pPr>
      <w:r>
        <w:t xml:space="preserve">Welk </w:t>
      </w:r>
      <w:r w:rsidR="005438BC">
        <w:t>behandeling</w:t>
      </w:r>
      <w:r>
        <w:t xml:space="preserve"> </w:t>
      </w:r>
      <w:r w:rsidR="005438BC">
        <w:t xml:space="preserve">zou u kiezen indien er bij </w:t>
      </w:r>
      <w:r w:rsidR="002F4AE2">
        <w:t xml:space="preserve">een </w:t>
      </w:r>
      <w:r w:rsidR="005438BC">
        <w:t xml:space="preserve">patiënte sprake blijkt te zijn van </w:t>
      </w:r>
      <w:r>
        <w:t>een therapie resistente SLE?</w:t>
      </w:r>
      <w:r w:rsidR="005438BC">
        <w:br/>
      </w:r>
    </w:p>
    <w:p w14:paraId="362E5B63" w14:textId="29CB73CE" w:rsidR="004D2911" w:rsidRPr="004D2911" w:rsidRDefault="005438BC" w:rsidP="004D2911">
      <w:pPr>
        <w:pStyle w:val="Lijstalinea"/>
        <w:numPr>
          <w:ilvl w:val="0"/>
          <w:numId w:val="40"/>
        </w:numPr>
        <w:spacing w:before="240"/>
        <w:rPr>
          <w:lang w:val="en-US"/>
        </w:rPr>
      </w:pPr>
      <w:proofErr w:type="spellStart"/>
      <w:r>
        <w:rPr>
          <w:lang w:val="en-US"/>
        </w:rPr>
        <w:t>Toevoegen</w:t>
      </w:r>
      <w:proofErr w:type="spellEnd"/>
      <w:r>
        <w:rPr>
          <w:lang w:val="en-US"/>
        </w:rPr>
        <w:t xml:space="preserve"> </w:t>
      </w:r>
      <w:r w:rsidR="004D2911" w:rsidRPr="004D2911">
        <w:rPr>
          <w:lang w:val="en-US"/>
        </w:rPr>
        <w:t>Abatacept</w:t>
      </w:r>
    </w:p>
    <w:p w14:paraId="2B74AF98" w14:textId="20F4ABFE" w:rsidR="004D2911" w:rsidRPr="004D2911" w:rsidRDefault="005438BC" w:rsidP="004D2911">
      <w:pPr>
        <w:pStyle w:val="Lijstalinea"/>
        <w:numPr>
          <w:ilvl w:val="0"/>
          <w:numId w:val="40"/>
        </w:numPr>
        <w:spacing w:before="240"/>
        <w:rPr>
          <w:lang w:val="en-US"/>
        </w:rPr>
      </w:pPr>
      <w:proofErr w:type="spellStart"/>
      <w:r>
        <w:rPr>
          <w:lang w:val="en-US"/>
        </w:rPr>
        <w:t>Toevoegen</w:t>
      </w:r>
      <w:proofErr w:type="spellEnd"/>
      <w:r>
        <w:rPr>
          <w:lang w:val="en-US"/>
        </w:rPr>
        <w:t xml:space="preserve"> </w:t>
      </w:r>
      <w:proofErr w:type="spellStart"/>
      <w:r w:rsidR="004D2911" w:rsidRPr="004D2911">
        <w:rPr>
          <w:lang w:val="en-US"/>
        </w:rPr>
        <w:t>Belumimab</w:t>
      </w:r>
      <w:proofErr w:type="spellEnd"/>
    </w:p>
    <w:p w14:paraId="368130C3" w14:textId="0C79E033" w:rsidR="004D2911" w:rsidRDefault="005438BC" w:rsidP="004D2911">
      <w:pPr>
        <w:pStyle w:val="Lijstalinea"/>
        <w:numPr>
          <w:ilvl w:val="0"/>
          <w:numId w:val="40"/>
        </w:numPr>
        <w:spacing w:before="240"/>
      </w:pPr>
      <w:r>
        <w:t xml:space="preserve">Toevoegen </w:t>
      </w:r>
      <w:proofErr w:type="spellStart"/>
      <w:r w:rsidR="004D2911" w:rsidRPr="008C1E9F">
        <w:t>Rituximab</w:t>
      </w:r>
      <w:proofErr w:type="spellEnd"/>
    </w:p>
    <w:p w14:paraId="15387AD0" w14:textId="2655E7F6" w:rsidR="004D2911" w:rsidRDefault="005438BC" w:rsidP="004D2911">
      <w:pPr>
        <w:pStyle w:val="Lijstalinea"/>
        <w:numPr>
          <w:ilvl w:val="0"/>
          <w:numId w:val="40"/>
        </w:numPr>
        <w:spacing w:before="240"/>
      </w:pPr>
      <w:r>
        <w:t xml:space="preserve">Toevoegen </w:t>
      </w:r>
      <w:proofErr w:type="spellStart"/>
      <w:r w:rsidR="004D2911">
        <w:t>Tacrolimus</w:t>
      </w:r>
      <w:proofErr w:type="spellEnd"/>
    </w:p>
    <w:p w14:paraId="48B099D0" w14:textId="6235220E" w:rsidR="005438BC" w:rsidRPr="008C1E9F" w:rsidRDefault="002F4AE2" w:rsidP="004D2911">
      <w:pPr>
        <w:pStyle w:val="Lijstalinea"/>
        <w:numPr>
          <w:ilvl w:val="0"/>
          <w:numId w:val="40"/>
        </w:numPr>
        <w:spacing w:before="240"/>
      </w:pPr>
      <w:r>
        <w:t>Cyclofosfamide</w:t>
      </w:r>
      <w:r w:rsidR="005438BC">
        <w:t xml:space="preserve"> (</w:t>
      </w:r>
      <w:r w:rsidR="005438BC" w:rsidRPr="0083225E">
        <w:rPr>
          <w:i/>
          <w:iCs/>
        </w:rPr>
        <w:t>hoge dosering volgens NIH)</w:t>
      </w:r>
    </w:p>
    <w:p w14:paraId="1DD276E4" w14:textId="160F242D" w:rsidR="004D2911" w:rsidRDefault="004D2911" w:rsidP="004D2911">
      <w:pPr>
        <w:pStyle w:val="Lijstalinea"/>
        <w:spacing w:before="240"/>
        <w:ind w:left="360"/>
      </w:pPr>
    </w:p>
    <w:p w14:paraId="5DEBA1FF" w14:textId="77777777" w:rsidR="0083225E" w:rsidRDefault="0083225E" w:rsidP="004D2911">
      <w:pPr>
        <w:pStyle w:val="Lijstalinea"/>
        <w:spacing w:before="240"/>
        <w:ind w:left="360"/>
      </w:pPr>
    </w:p>
    <w:p w14:paraId="44EF18E2" w14:textId="565BE0F8" w:rsidR="00743AD5" w:rsidRDefault="00743AD5" w:rsidP="00743AD5">
      <w:pPr>
        <w:pStyle w:val="Lijstalinea"/>
        <w:numPr>
          <w:ilvl w:val="0"/>
          <w:numId w:val="1"/>
        </w:numPr>
        <w:spacing w:before="240"/>
      </w:pPr>
      <w:r>
        <w:t xml:space="preserve">U stelt de diagnose SLE bij de </w:t>
      </w:r>
      <w:r w:rsidR="0099019F">
        <w:t>patiënte</w:t>
      </w:r>
      <w:r>
        <w:t xml:space="preserve"> uit vraag </w:t>
      </w:r>
      <w:r w:rsidR="000920F1">
        <w:t>1</w:t>
      </w:r>
      <w:r>
        <w:t>. In het serum worden antifosfolipiden antistoffen aangetoond. Welke additionele behandeling is nu aangewezen?</w:t>
      </w:r>
    </w:p>
    <w:p w14:paraId="239A8286" w14:textId="77777777" w:rsidR="00743AD5" w:rsidRDefault="00743AD5" w:rsidP="00743AD5">
      <w:pPr>
        <w:pStyle w:val="Lijstalinea"/>
        <w:numPr>
          <w:ilvl w:val="0"/>
          <w:numId w:val="4"/>
        </w:numPr>
        <w:spacing w:before="240"/>
      </w:pPr>
      <w:r>
        <w:t>Acenocoumarol</w:t>
      </w:r>
    </w:p>
    <w:p w14:paraId="798E2226" w14:textId="77777777" w:rsidR="00743AD5" w:rsidRDefault="00743AD5" w:rsidP="00743AD5">
      <w:pPr>
        <w:pStyle w:val="Lijstalinea"/>
        <w:numPr>
          <w:ilvl w:val="0"/>
          <w:numId w:val="4"/>
        </w:numPr>
        <w:spacing w:before="240"/>
      </w:pPr>
      <w:r>
        <w:t xml:space="preserve">Ascal </w:t>
      </w:r>
    </w:p>
    <w:p w14:paraId="5CC0F2FB" w14:textId="77777777" w:rsidR="00743AD5" w:rsidRDefault="00743AD5" w:rsidP="00743AD5">
      <w:pPr>
        <w:pStyle w:val="Lijstalinea"/>
        <w:numPr>
          <w:ilvl w:val="0"/>
          <w:numId w:val="4"/>
        </w:numPr>
        <w:spacing w:before="240"/>
      </w:pPr>
      <w:r>
        <w:t>Profylactische dosering LMWH</w:t>
      </w:r>
    </w:p>
    <w:p w14:paraId="713665AA" w14:textId="3FECA1FD" w:rsidR="005C75C3" w:rsidRDefault="005438BC" w:rsidP="00C975ED">
      <w:pPr>
        <w:pStyle w:val="Lijstalinea"/>
        <w:numPr>
          <w:ilvl w:val="0"/>
          <w:numId w:val="4"/>
        </w:numPr>
        <w:spacing w:before="240"/>
      </w:pPr>
      <w:r>
        <w:t>G</w:t>
      </w:r>
      <w:r w:rsidR="00E33785">
        <w:t>een additionele behandeling</w:t>
      </w:r>
    </w:p>
    <w:p w14:paraId="4EE72CD5" w14:textId="77777777" w:rsidR="00E33785" w:rsidRDefault="00E33785" w:rsidP="00E33785">
      <w:pPr>
        <w:pStyle w:val="Lijstalinea"/>
        <w:spacing w:before="240"/>
        <w:ind w:left="360"/>
      </w:pPr>
    </w:p>
    <w:sectPr w:rsidR="00E33785" w:rsidSect="00B13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F5E"/>
    <w:multiLevelType w:val="hybridMultilevel"/>
    <w:tmpl w:val="5A049E1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5C51582"/>
    <w:multiLevelType w:val="hybridMultilevel"/>
    <w:tmpl w:val="24CCEEDC"/>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73182"/>
    <w:multiLevelType w:val="hybridMultilevel"/>
    <w:tmpl w:val="7A0EF568"/>
    <w:lvl w:ilvl="0" w:tplc="C2164B7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121B80"/>
    <w:multiLevelType w:val="hybridMultilevel"/>
    <w:tmpl w:val="6B503362"/>
    <w:lvl w:ilvl="0" w:tplc="C2164B76">
      <w:start w:val="1"/>
      <w:numFmt w:val="bullet"/>
      <w:lvlText w:val=""/>
      <w:lvlJc w:val="left"/>
      <w:pPr>
        <w:ind w:left="-4824" w:hanging="360"/>
      </w:pPr>
      <w:rPr>
        <w:rFonts w:ascii="Symbol" w:hAnsi="Symbol" w:hint="default"/>
      </w:rPr>
    </w:lvl>
    <w:lvl w:ilvl="1" w:tplc="04130003" w:tentative="1">
      <w:start w:val="1"/>
      <w:numFmt w:val="bullet"/>
      <w:lvlText w:val="o"/>
      <w:lvlJc w:val="left"/>
      <w:pPr>
        <w:ind w:left="-4104" w:hanging="360"/>
      </w:pPr>
      <w:rPr>
        <w:rFonts w:ascii="Courier New" w:hAnsi="Courier New" w:cs="Courier New" w:hint="default"/>
      </w:rPr>
    </w:lvl>
    <w:lvl w:ilvl="2" w:tplc="04130005" w:tentative="1">
      <w:start w:val="1"/>
      <w:numFmt w:val="bullet"/>
      <w:lvlText w:val=""/>
      <w:lvlJc w:val="left"/>
      <w:pPr>
        <w:ind w:left="-3384" w:hanging="360"/>
      </w:pPr>
      <w:rPr>
        <w:rFonts w:ascii="Wingdings" w:hAnsi="Wingdings" w:hint="default"/>
      </w:rPr>
    </w:lvl>
    <w:lvl w:ilvl="3" w:tplc="04130001" w:tentative="1">
      <w:start w:val="1"/>
      <w:numFmt w:val="bullet"/>
      <w:lvlText w:val=""/>
      <w:lvlJc w:val="left"/>
      <w:pPr>
        <w:ind w:left="-2664" w:hanging="360"/>
      </w:pPr>
      <w:rPr>
        <w:rFonts w:ascii="Symbol" w:hAnsi="Symbol" w:hint="default"/>
      </w:rPr>
    </w:lvl>
    <w:lvl w:ilvl="4" w:tplc="04130003" w:tentative="1">
      <w:start w:val="1"/>
      <w:numFmt w:val="bullet"/>
      <w:lvlText w:val="o"/>
      <w:lvlJc w:val="left"/>
      <w:pPr>
        <w:ind w:left="-1944" w:hanging="360"/>
      </w:pPr>
      <w:rPr>
        <w:rFonts w:ascii="Courier New" w:hAnsi="Courier New" w:cs="Courier New" w:hint="default"/>
      </w:rPr>
    </w:lvl>
    <w:lvl w:ilvl="5" w:tplc="04130005" w:tentative="1">
      <w:start w:val="1"/>
      <w:numFmt w:val="bullet"/>
      <w:lvlText w:val=""/>
      <w:lvlJc w:val="left"/>
      <w:pPr>
        <w:ind w:left="-1224" w:hanging="360"/>
      </w:pPr>
      <w:rPr>
        <w:rFonts w:ascii="Wingdings" w:hAnsi="Wingdings" w:hint="default"/>
      </w:rPr>
    </w:lvl>
    <w:lvl w:ilvl="6" w:tplc="04130001" w:tentative="1">
      <w:start w:val="1"/>
      <w:numFmt w:val="bullet"/>
      <w:lvlText w:val=""/>
      <w:lvlJc w:val="left"/>
      <w:pPr>
        <w:ind w:left="-504" w:hanging="360"/>
      </w:pPr>
      <w:rPr>
        <w:rFonts w:ascii="Symbol" w:hAnsi="Symbol" w:hint="default"/>
      </w:rPr>
    </w:lvl>
    <w:lvl w:ilvl="7" w:tplc="04130003" w:tentative="1">
      <w:start w:val="1"/>
      <w:numFmt w:val="bullet"/>
      <w:lvlText w:val="o"/>
      <w:lvlJc w:val="left"/>
      <w:pPr>
        <w:ind w:left="216" w:hanging="360"/>
      </w:pPr>
      <w:rPr>
        <w:rFonts w:ascii="Courier New" w:hAnsi="Courier New" w:cs="Courier New" w:hint="default"/>
      </w:rPr>
    </w:lvl>
    <w:lvl w:ilvl="8" w:tplc="04130005" w:tentative="1">
      <w:start w:val="1"/>
      <w:numFmt w:val="bullet"/>
      <w:lvlText w:val=""/>
      <w:lvlJc w:val="left"/>
      <w:pPr>
        <w:ind w:left="936" w:hanging="360"/>
      </w:pPr>
      <w:rPr>
        <w:rFonts w:ascii="Wingdings" w:hAnsi="Wingdings" w:hint="default"/>
      </w:rPr>
    </w:lvl>
  </w:abstractNum>
  <w:abstractNum w:abstractNumId="4" w15:restartNumberingAfterBreak="0">
    <w:nsid w:val="0A922F93"/>
    <w:multiLevelType w:val="hybridMultilevel"/>
    <w:tmpl w:val="13E2461C"/>
    <w:lvl w:ilvl="0" w:tplc="3E2CA11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C44A4F"/>
    <w:multiLevelType w:val="hybridMultilevel"/>
    <w:tmpl w:val="13841CC0"/>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DF4225"/>
    <w:multiLevelType w:val="hybridMultilevel"/>
    <w:tmpl w:val="8E8AAE08"/>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6A2DAC"/>
    <w:multiLevelType w:val="hybridMultilevel"/>
    <w:tmpl w:val="D66EE6B8"/>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C55F68"/>
    <w:multiLevelType w:val="hybridMultilevel"/>
    <w:tmpl w:val="4A867738"/>
    <w:lvl w:ilvl="0" w:tplc="C2164B7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A11400"/>
    <w:multiLevelType w:val="hybridMultilevel"/>
    <w:tmpl w:val="FB709DF0"/>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CB48C8"/>
    <w:multiLevelType w:val="hybridMultilevel"/>
    <w:tmpl w:val="A5AC5D22"/>
    <w:lvl w:ilvl="0" w:tplc="C2164B7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0B642B"/>
    <w:multiLevelType w:val="hybridMultilevel"/>
    <w:tmpl w:val="0A9A24F4"/>
    <w:lvl w:ilvl="0" w:tplc="C2164B7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615785"/>
    <w:multiLevelType w:val="hybridMultilevel"/>
    <w:tmpl w:val="C80E37A2"/>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0B0C94"/>
    <w:multiLevelType w:val="hybridMultilevel"/>
    <w:tmpl w:val="72049728"/>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8B213D"/>
    <w:multiLevelType w:val="hybridMultilevel"/>
    <w:tmpl w:val="104695B6"/>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94453E"/>
    <w:multiLevelType w:val="hybridMultilevel"/>
    <w:tmpl w:val="19063F06"/>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56E1EAD"/>
    <w:multiLevelType w:val="hybridMultilevel"/>
    <w:tmpl w:val="99CCAD26"/>
    <w:lvl w:ilvl="0" w:tplc="C2164B7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FE4F4F"/>
    <w:multiLevelType w:val="hybridMultilevel"/>
    <w:tmpl w:val="F7DAF552"/>
    <w:lvl w:ilvl="0" w:tplc="C2164B7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3B7A53"/>
    <w:multiLevelType w:val="hybridMultilevel"/>
    <w:tmpl w:val="29FC3094"/>
    <w:lvl w:ilvl="0" w:tplc="C2164B7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30B71747"/>
    <w:multiLevelType w:val="hybridMultilevel"/>
    <w:tmpl w:val="827EBF46"/>
    <w:lvl w:ilvl="0" w:tplc="C2164B7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357B5C12"/>
    <w:multiLevelType w:val="hybridMultilevel"/>
    <w:tmpl w:val="B956A242"/>
    <w:lvl w:ilvl="0" w:tplc="C2164B76">
      <w:start w:val="1"/>
      <w:numFmt w:val="bullet"/>
      <w:lvlText w:val=""/>
      <w:lvlJc w:val="left"/>
      <w:pPr>
        <w:ind w:left="1065" w:hanging="360"/>
      </w:pPr>
      <w:rPr>
        <w:rFonts w:ascii="Symbol" w:hAnsi="Symbol"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1" w15:restartNumberingAfterBreak="0">
    <w:nsid w:val="36005DA6"/>
    <w:multiLevelType w:val="hybridMultilevel"/>
    <w:tmpl w:val="827EBF46"/>
    <w:lvl w:ilvl="0" w:tplc="C2164B7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66A3294"/>
    <w:multiLevelType w:val="hybridMultilevel"/>
    <w:tmpl w:val="27B6FA86"/>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E37193"/>
    <w:multiLevelType w:val="hybridMultilevel"/>
    <w:tmpl w:val="F78C3B36"/>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B20293"/>
    <w:multiLevelType w:val="hybridMultilevel"/>
    <w:tmpl w:val="80A490B8"/>
    <w:lvl w:ilvl="0" w:tplc="C2164B7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B0438BE"/>
    <w:multiLevelType w:val="hybridMultilevel"/>
    <w:tmpl w:val="F80A31BE"/>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1D21D3"/>
    <w:multiLevelType w:val="hybridMultilevel"/>
    <w:tmpl w:val="C352A216"/>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193E34"/>
    <w:multiLevelType w:val="hybridMultilevel"/>
    <w:tmpl w:val="70F4AEE4"/>
    <w:lvl w:ilvl="0" w:tplc="C2164B7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F3567DA"/>
    <w:multiLevelType w:val="hybridMultilevel"/>
    <w:tmpl w:val="7C50B0FE"/>
    <w:lvl w:ilvl="0" w:tplc="C2164B7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5C70608"/>
    <w:multiLevelType w:val="hybridMultilevel"/>
    <w:tmpl w:val="3208BA9A"/>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4B7354"/>
    <w:multiLevelType w:val="hybridMultilevel"/>
    <w:tmpl w:val="C28299AE"/>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951886"/>
    <w:multiLevelType w:val="hybridMultilevel"/>
    <w:tmpl w:val="F2FA16BC"/>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8FD3D64"/>
    <w:multiLevelType w:val="hybridMultilevel"/>
    <w:tmpl w:val="519C1E32"/>
    <w:lvl w:ilvl="0" w:tplc="C2164B76">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5ABF16BF"/>
    <w:multiLevelType w:val="hybridMultilevel"/>
    <w:tmpl w:val="91420A84"/>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D38749A"/>
    <w:multiLevelType w:val="hybridMultilevel"/>
    <w:tmpl w:val="18FAACD0"/>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13A2D70"/>
    <w:multiLevelType w:val="hybridMultilevel"/>
    <w:tmpl w:val="99A8364E"/>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27150DB"/>
    <w:multiLevelType w:val="hybridMultilevel"/>
    <w:tmpl w:val="6D8C2B34"/>
    <w:lvl w:ilvl="0" w:tplc="C2164B7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646A01EA"/>
    <w:multiLevelType w:val="hybridMultilevel"/>
    <w:tmpl w:val="6874868E"/>
    <w:lvl w:ilvl="0" w:tplc="C2164B7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3A2189"/>
    <w:multiLevelType w:val="hybridMultilevel"/>
    <w:tmpl w:val="8C867ECC"/>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1669A7"/>
    <w:multiLevelType w:val="hybridMultilevel"/>
    <w:tmpl w:val="D28CCEC2"/>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C567CC8"/>
    <w:multiLevelType w:val="hybridMultilevel"/>
    <w:tmpl w:val="B122DFA0"/>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30"/>
  </w:num>
  <w:num w:numId="5">
    <w:abstractNumId w:val="1"/>
  </w:num>
  <w:num w:numId="6">
    <w:abstractNumId w:val="13"/>
  </w:num>
  <w:num w:numId="7">
    <w:abstractNumId w:val="34"/>
  </w:num>
  <w:num w:numId="8">
    <w:abstractNumId w:val="23"/>
  </w:num>
  <w:num w:numId="9">
    <w:abstractNumId w:val="14"/>
  </w:num>
  <w:num w:numId="10">
    <w:abstractNumId w:val="25"/>
  </w:num>
  <w:num w:numId="11">
    <w:abstractNumId w:val="39"/>
  </w:num>
  <w:num w:numId="12">
    <w:abstractNumId w:val="38"/>
  </w:num>
  <w:num w:numId="13">
    <w:abstractNumId w:val="26"/>
  </w:num>
  <w:num w:numId="14">
    <w:abstractNumId w:val="35"/>
  </w:num>
  <w:num w:numId="15">
    <w:abstractNumId w:val="29"/>
  </w:num>
  <w:num w:numId="16">
    <w:abstractNumId w:val="31"/>
  </w:num>
  <w:num w:numId="17">
    <w:abstractNumId w:val="3"/>
  </w:num>
  <w:num w:numId="18">
    <w:abstractNumId w:val="9"/>
  </w:num>
  <w:num w:numId="19">
    <w:abstractNumId w:val="33"/>
  </w:num>
  <w:num w:numId="20">
    <w:abstractNumId w:val="7"/>
  </w:num>
  <w:num w:numId="21">
    <w:abstractNumId w:val="32"/>
  </w:num>
  <w:num w:numId="22">
    <w:abstractNumId w:val="2"/>
  </w:num>
  <w:num w:numId="23">
    <w:abstractNumId w:val="20"/>
  </w:num>
  <w:num w:numId="24">
    <w:abstractNumId w:val="8"/>
  </w:num>
  <w:num w:numId="25">
    <w:abstractNumId w:val="28"/>
  </w:num>
  <w:num w:numId="26">
    <w:abstractNumId w:val="27"/>
  </w:num>
  <w:num w:numId="27">
    <w:abstractNumId w:val="17"/>
  </w:num>
  <w:num w:numId="28">
    <w:abstractNumId w:val="24"/>
  </w:num>
  <w:num w:numId="29">
    <w:abstractNumId w:val="10"/>
  </w:num>
  <w:num w:numId="30">
    <w:abstractNumId w:val="16"/>
  </w:num>
  <w:num w:numId="31">
    <w:abstractNumId w:val="37"/>
  </w:num>
  <w:num w:numId="32">
    <w:abstractNumId w:val="0"/>
  </w:num>
  <w:num w:numId="33">
    <w:abstractNumId w:val="6"/>
  </w:num>
  <w:num w:numId="34">
    <w:abstractNumId w:val="19"/>
  </w:num>
  <w:num w:numId="35">
    <w:abstractNumId w:val="21"/>
  </w:num>
  <w:num w:numId="36">
    <w:abstractNumId w:val="36"/>
  </w:num>
  <w:num w:numId="37">
    <w:abstractNumId w:val="40"/>
  </w:num>
  <w:num w:numId="38">
    <w:abstractNumId w:val="18"/>
  </w:num>
  <w:num w:numId="39">
    <w:abstractNumId w:val="15"/>
  </w:num>
  <w:num w:numId="40">
    <w:abstractNumId w:val="2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B9"/>
    <w:rsid w:val="00002212"/>
    <w:rsid w:val="00013964"/>
    <w:rsid w:val="00034772"/>
    <w:rsid w:val="000570E7"/>
    <w:rsid w:val="000628E3"/>
    <w:rsid w:val="000671B9"/>
    <w:rsid w:val="0007371F"/>
    <w:rsid w:val="000920F1"/>
    <w:rsid w:val="000950AA"/>
    <w:rsid w:val="000C056F"/>
    <w:rsid w:val="000C2432"/>
    <w:rsid w:val="000D3ACF"/>
    <w:rsid w:val="000D449E"/>
    <w:rsid w:val="000F2647"/>
    <w:rsid w:val="00107533"/>
    <w:rsid w:val="001357EF"/>
    <w:rsid w:val="00162607"/>
    <w:rsid w:val="00165D51"/>
    <w:rsid w:val="00170C0A"/>
    <w:rsid w:val="001964B6"/>
    <w:rsid w:val="001A0456"/>
    <w:rsid w:val="001B37BD"/>
    <w:rsid w:val="001C4B3E"/>
    <w:rsid w:val="001C53C4"/>
    <w:rsid w:val="001D5C20"/>
    <w:rsid w:val="002149BD"/>
    <w:rsid w:val="0021580D"/>
    <w:rsid w:val="0023669C"/>
    <w:rsid w:val="00244608"/>
    <w:rsid w:val="00246B2E"/>
    <w:rsid w:val="002628DF"/>
    <w:rsid w:val="00266CF5"/>
    <w:rsid w:val="00297F90"/>
    <w:rsid w:val="002A6E44"/>
    <w:rsid w:val="002B19F0"/>
    <w:rsid w:val="002B1ABF"/>
    <w:rsid w:val="002B39EF"/>
    <w:rsid w:val="002C035D"/>
    <w:rsid w:val="002D3291"/>
    <w:rsid w:val="002F4AE2"/>
    <w:rsid w:val="002F6D94"/>
    <w:rsid w:val="00301BBF"/>
    <w:rsid w:val="00302B6D"/>
    <w:rsid w:val="00306600"/>
    <w:rsid w:val="0032134C"/>
    <w:rsid w:val="003234C5"/>
    <w:rsid w:val="003265B9"/>
    <w:rsid w:val="00327A17"/>
    <w:rsid w:val="00345309"/>
    <w:rsid w:val="0035122C"/>
    <w:rsid w:val="00352496"/>
    <w:rsid w:val="00353E6D"/>
    <w:rsid w:val="00355F92"/>
    <w:rsid w:val="00371632"/>
    <w:rsid w:val="00374402"/>
    <w:rsid w:val="00376526"/>
    <w:rsid w:val="003868D6"/>
    <w:rsid w:val="0039186B"/>
    <w:rsid w:val="00392BE1"/>
    <w:rsid w:val="0039707D"/>
    <w:rsid w:val="003A753D"/>
    <w:rsid w:val="003B01D2"/>
    <w:rsid w:val="003C5D8A"/>
    <w:rsid w:val="003E592B"/>
    <w:rsid w:val="003E7C22"/>
    <w:rsid w:val="003F46CD"/>
    <w:rsid w:val="003F67ED"/>
    <w:rsid w:val="00414B28"/>
    <w:rsid w:val="004325B9"/>
    <w:rsid w:val="00433FB3"/>
    <w:rsid w:val="00437B3F"/>
    <w:rsid w:val="004500CF"/>
    <w:rsid w:val="00456DCF"/>
    <w:rsid w:val="00484045"/>
    <w:rsid w:val="0049699F"/>
    <w:rsid w:val="004B14E8"/>
    <w:rsid w:val="004B532A"/>
    <w:rsid w:val="004D2911"/>
    <w:rsid w:val="005216C1"/>
    <w:rsid w:val="00526098"/>
    <w:rsid w:val="005438BC"/>
    <w:rsid w:val="00543A14"/>
    <w:rsid w:val="00546FCA"/>
    <w:rsid w:val="00592F5B"/>
    <w:rsid w:val="00593735"/>
    <w:rsid w:val="005A446F"/>
    <w:rsid w:val="005A48A3"/>
    <w:rsid w:val="005C75C3"/>
    <w:rsid w:val="005D67EB"/>
    <w:rsid w:val="005E6142"/>
    <w:rsid w:val="005E6FE8"/>
    <w:rsid w:val="0062648F"/>
    <w:rsid w:val="00636548"/>
    <w:rsid w:val="00646D34"/>
    <w:rsid w:val="00654FF7"/>
    <w:rsid w:val="006603AD"/>
    <w:rsid w:val="00664481"/>
    <w:rsid w:val="00674078"/>
    <w:rsid w:val="0068534E"/>
    <w:rsid w:val="006C1FB1"/>
    <w:rsid w:val="006D672D"/>
    <w:rsid w:val="006E3009"/>
    <w:rsid w:val="006E3FB6"/>
    <w:rsid w:val="006F44CD"/>
    <w:rsid w:val="007206B6"/>
    <w:rsid w:val="0073765F"/>
    <w:rsid w:val="00743AD5"/>
    <w:rsid w:val="0074535E"/>
    <w:rsid w:val="00757721"/>
    <w:rsid w:val="00761C2E"/>
    <w:rsid w:val="007716F3"/>
    <w:rsid w:val="00790C43"/>
    <w:rsid w:val="007B6394"/>
    <w:rsid w:val="007C1CAD"/>
    <w:rsid w:val="007C583C"/>
    <w:rsid w:val="007D5B78"/>
    <w:rsid w:val="007E3ADC"/>
    <w:rsid w:val="007F06CE"/>
    <w:rsid w:val="007F5472"/>
    <w:rsid w:val="0081647F"/>
    <w:rsid w:val="0083225E"/>
    <w:rsid w:val="008362AE"/>
    <w:rsid w:val="008579AA"/>
    <w:rsid w:val="00866D2D"/>
    <w:rsid w:val="00875F83"/>
    <w:rsid w:val="0089330C"/>
    <w:rsid w:val="008B27ED"/>
    <w:rsid w:val="008C1E9F"/>
    <w:rsid w:val="008C4AEC"/>
    <w:rsid w:val="008C7414"/>
    <w:rsid w:val="008D41EF"/>
    <w:rsid w:val="008E3ED0"/>
    <w:rsid w:val="008E4A17"/>
    <w:rsid w:val="008F39F6"/>
    <w:rsid w:val="008F664A"/>
    <w:rsid w:val="009057F7"/>
    <w:rsid w:val="00955570"/>
    <w:rsid w:val="00961687"/>
    <w:rsid w:val="0096197C"/>
    <w:rsid w:val="00962F0D"/>
    <w:rsid w:val="009733A9"/>
    <w:rsid w:val="0099019F"/>
    <w:rsid w:val="00992B39"/>
    <w:rsid w:val="00993816"/>
    <w:rsid w:val="00994016"/>
    <w:rsid w:val="009A0032"/>
    <w:rsid w:val="009A7F3B"/>
    <w:rsid w:val="009B26D5"/>
    <w:rsid w:val="009B2ABD"/>
    <w:rsid w:val="009B4F43"/>
    <w:rsid w:val="009C6222"/>
    <w:rsid w:val="009D0C19"/>
    <w:rsid w:val="009E225C"/>
    <w:rsid w:val="009F1E11"/>
    <w:rsid w:val="009F22CF"/>
    <w:rsid w:val="009F34DD"/>
    <w:rsid w:val="009F3DC0"/>
    <w:rsid w:val="00A262F1"/>
    <w:rsid w:val="00A33159"/>
    <w:rsid w:val="00A33B7D"/>
    <w:rsid w:val="00A42DF4"/>
    <w:rsid w:val="00A6513D"/>
    <w:rsid w:val="00A73B3C"/>
    <w:rsid w:val="00A85DB5"/>
    <w:rsid w:val="00AA504E"/>
    <w:rsid w:val="00AC0074"/>
    <w:rsid w:val="00AC6D26"/>
    <w:rsid w:val="00AD1249"/>
    <w:rsid w:val="00B0418A"/>
    <w:rsid w:val="00B07930"/>
    <w:rsid w:val="00B13270"/>
    <w:rsid w:val="00B23B22"/>
    <w:rsid w:val="00B857F3"/>
    <w:rsid w:val="00B87F24"/>
    <w:rsid w:val="00B9637A"/>
    <w:rsid w:val="00BC5DC7"/>
    <w:rsid w:val="00BD7873"/>
    <w:rsid w:val="00BE1864"/>
    <w:rsid w:val="00C12642"/>
    <w:rsid w:val="00C14181"/>
    <w:rsid w:val="00C17B59"/>
    <w:rsid w:val="00C33A1A"/>
    <w:rsid w:val="00C40B9F"/>
    <w:rsid w:val="00C57615"/>
    <w:rsid w:val="00C6276A"/>
    <w:rsid w:val="00C72184"/>
    <w:rsid w:val="00C7667B"/>
    <w:rsid w:val="00C84D6D"/>
    <w:rsid w:val="00C865F9"/>
    <w:rsid w:val="00C94E47"/>
    <w:rsid w:val="00C94F88"/>
    <w:rsid w:val="00C975ED"/>
    <w:rsid w:val="00CA45C6"/>
    <w:rsid w:val="00CC5AB2"/>
    <w:rsid w:val="00CD3E8F"/>
    <w:rsid w:val="00CD751B"/>
    <w:rsid w:val="00CE6C71"/>
    <w:rsid w:val="00CF010E"/>
    <w:rsid w:val="00CF34DD"/>
    <w:rsid w:val="00D0149E"/>
    <w:rsid w:val="00D05E37"/>
    <w:rsid w:val="00D0724E"/>
    <w:rsid w:val="00D10C81"/>
    <w:rsid w:val="00D10FC8"/>
    <w:rsid w:val="00D25E31"/>
    <w:rsid w:val="00D26EE1"/>
    <w:rsid w:val="00D303B6"/>
    <w:rsid w:val="00D332E9"/>
    <w:rsid w:val="00D459AA"/>
    <w:rsid w:val="00D64A70"/>
    <w:rsid w:val="00D64FE9"/>
    <w:rsid w:val="00D81712"/>
    <w:rsid w:val="00D8608E"/>
    <w:rsid w:val="00D93235"/>
    <w:rsid w:val="00DC0551"/>
    <w:rsid w:val="00DF3194"/>
    <w:rsid w:val="00E01AF7"/>
    <w:rsid w:val="00E1353F"/>
    <w:rsid w:val="00E147C9"/>
    <w:rsid w:val="00E27337"/>
    <w:rsid w:val="00E30A62"/>
    <w:rsid w:val="00E33785"/>
    <w:rsid w:val="00E40615"/>
    <w:rsid w:val="00E4179A"/>
    <w:rsid w:val="00E43A04"/>
    <w:rsid w:val="00E43CED"/>
    <w:rsid w:val="00E55EEC"/>
    <w:rsid w:val="00E60836"/>
    <w:rsid w:val="00E61E3C"/>
    <w:rsid w:val="00E65B5C"/>
    <w:rsid w:val="00E81CE9"/>
    <w:rsid w:val="00E93012"/>
    <w:rsid w:val="00EA2069"/>
    <w:rsid w:val="00EB2D13"/>
    <w:rsid w:val="00EB643F"/>
    <w:rsid w:val="00EB7267"/>
    <w:rsid w:val="00EC7D9F"/>
    <w:rsid w:val="00EF0902"/>
    <w:rsid w:val="00EF23AF"/>
    <w:rsid w:val="00F0275C"/>
    <w:rsid w:val="00F135D2"/>
    <w:rsid w:val="00F24A31"/>
    <w:rsid w:val="00F37C10"/>
    <w:rsid w:val="00F42249"/>
    <w:rsid w:val="00F42AEB"/>
    <w:rsid w:val="00F439B9"/>
    <w:rsid w:val="00F55729"/>
    <w:rsid w:val="00F56C1D"/>
    <w:rsid w:val="00F71780"/>
    <w:rsid w:val="00F71F36"/>
    <w:rsid w:val="00F72013"/>
    <w:rsid w:val="00F74453"/>
    <w:rsid w:val="00F81D9A"/>
    <w:rsid w:val="00F82185"/>
    <w:rsid w:val="00FA4756"/>
    <w:rsid w:val="00FB4D27"/>
    <w:rsid w:val="00FE121D"/>
    <w:rsid w:val="00FF5725"/>
    <w:rsid w:val="00FF5A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3D4B"/>
  <w15:docId w15:val="{E505651F-ACB7-4B81-A304-9C3DA0E9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71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71B9"/>
    <w:pPr>
      <w:ind w:left="720"/>
      <w:contextualSpacing/>
    </w:pPr>
  </w:style>
  <w:style w:type="paragraph" w:styleId="Ballontekst">
    <w:name w:val="Balloon Text"/>
    <w:basedOn w:val="Standaard"/>
    <w:link w:val="BallontekstChar"/>
    <w:uiPriority w:val="99"/>
    <w:semiHidden/>
    <w:unhideWhenUsed/>
    <w:rsid w:val="000671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7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BF491-7942-4218-A109-974581E9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744</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Z324103</dc:creator>
  <cp:lastModifiedBy>Ommen, Ellen van</cp:lastModifiedBy>
  <cp:revision>12</cp:revision>
  <dcterms:created xsi:type="dcterms:W3CDTF">2022-07-05T07:54:00Z</dcterms:created>
  <dcterms:modified xsi:type="dcterms:W3CDTF">2022-07-28T10:47:00Z</dcterms:modified>
</cp:coreProperties>
</file>